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8751E" w14:textId="4D76C4AF" w:rsidR="00633C62" w:rsidRPr="00633C62" w:rsidRDefault="00633C62" w:rsidP="00633C62">
      <w:pPr>
        <w:jc w:val="right"/>
        <w:rPr>
          <w:lang w:val="pl-PL"/>
        </w:rPr>
      </w:pPr>
      <w:r w:rsidRPr="00633C62">
        <w:rPr>
          <w:lang w:val="pl-PL"/>
        </w:rPr>
        <w:t xml:space="preserve">Warszawa, </w:t>
      </w:r>
      <w:r w:rsidR="00FA5588">
        <w:rPr>
          <w:lang w:val="pl-PL"/>
        </w:rPr>
        <w:t>3</w:t>
      </w:r>
      <w:r w:rsidR="00797D17">
        <w:rPr>
          <w:lang w:val="pl-PL"/>
        </w:rPr>
        <w:t xml:space="preserve"> maja</w:t>
      </w:r>
      <w:r w:rsidRPr="00633C62">
        <w:rPr>
          <w:lang w:val="pl-PL"/>
        </w:rPr>
        <w:t xml:space="preserve"> 2025 roku </w:t>
      </w:r>
    </w:p>
    <w:p w14:paraId="21A1F158" w14:textId="77777777" w:rsidR="00633C62" w:rsidRPr="00633C62" w:rsidRDefault="00633C62" w:rsidP="00633C62">
      <w:pPr>
        <w:jc w:val="right"/>
        <w:rPr>
          <w:lang w:val="pl-PL"/>
        </w:rPr>
      </w:pPr>
    </w:p>
    <w:p w14:paraId="5CB47098" w14:textId="77777777" w:rsidR="00633C62" w:rsidRPr="00633C62" w:rsidRDefault="00633C62" w:rsidP="00633C62">
      <w:pPr>
        <w:ind w:left="5670"/>
        <w:jc w:val="both"/>
        <w:rPr>
          <w:b/>
          <w:bCs/>
          <w:lang w:val="pl-PL"/>
        </w:rPr>
      </w:pPr>
      <w:proofErr w:type="spellStart"/>
      <w:r w:rsidRPr="00633C62">
        <w:rPr>
          <w:b/>
          <w:bCs/>
          <w:lang w:val="pl-PL"/>
        </w:rPr>
        <w:t>Sz.P</w:t>
      </w:r>
      <w:proofErr w:type="spellEnd"/>
      <w:r w:rsidRPr="00633C62">
        <w:rPr>
          <w:b/>
          <w:bCs/>
          <w:lang w:val="pl-PL"/>
        </w:rPr>
        <w:t xml:space="preserve">. </w:t>
      </w:r>
    </w:p>
    <w:p w14:paraId="6D63A881" w14:textId="7CC616C8" w:rsidR="00633C62" w:rsidRDefault="002C6902" w:rsidP="00633C62">
      <w:pPr>
        <w:ind w:left="5670"/>
        <w:jc w:val="both"/>
        <w:rPr>
          <w:b/>
          <w:bCs/>
          <w:lang w:val="pl-PL"/>
        </w:rPr>
      </w:pPr>
      <w:r>
        <w:rPr>
          <w:b/>
          <w:bCs/>
          <w:lang w:val="pl-PL"/>
        </w:rPr>
        <w:t>Szymon Hołownia</w:t>
      </w:r>
    </w:p>
    <w:p w14:paraId="786AFE2B" w14:textId="7E034033" w:rsidR="002C6902" w:rsidRDefault="002C6902" w:rsidP="00633C62">
      <w:pPr>
        <w:ind w:left="5670"/>
        <w:jc w:val="both"/>
        <w:rPr>
          <w:b/>
          <w:bCs/>
          <w:lang w:val="pl-PL"/>
        </w:rPr>
      </w:pPr>
      <w:r>
        <w:rPr>
          <w:b/>
          <w:bCs/>
          <w:lang w:val="pl-PL"/>
        </w:rPr>
        <w:t>Marszałek Sejmu</w:t>
      </w:r>
    </w:p>
    <w:p w14:paraId="1AD5F433" w14:textId="77777777" w:rsidR="002C6902" w:rsidRDefault="002C6902" w:rsidP="00633C62">
      <w:pPr>
        <w:ind w:left="5670"/>
        <w:jc w:val="both"/>
        <w:rPr>
          <w:lang w:val="pl-PL"/>
        </w:rPr>
      </w:pPr>
    </w:p>
    <w:p w14:paraId="0CC37FF5" w14:textId="088F3DCC" w:rsidR="002C6902" w:rsidRDefault="002C6902" w:rsidP="00633C62">
      <w:pPr>
        <w:ind w:left="5670"/>
        <w:jc w:val="both"/>
        <w:rPr>
          <w:u w:val="single"/>
          <w:lang w:val="pl-PL"/>
        </w:rPr>
      </w:pPr>
      <w:r w:rsidRPr="002C6902">
        <w:rPr>
          <w:u w:val="single"/>
          <w:lang w:val="pl-PL"/>
        </w:rPr>
        <w:t>za pośrednictwem:</w:t>
      </w:r>
    </w:p>
    <w:p w14:paraId="63F7C6E0" w14:textId="4F05F7C1" w:rsidR="002C6902" w:rsidRDefault="002C6902" w:rsidP="00633C62">
      <w:pPr>
        <w:ind w:left="5670"/>
        <w:jc w:val="both"/>
        <w:rPr>
          <w:lang w:val="pl-PL"/>
        </w:rPr>
      </w:pPr>
      <w:r w:rsidRPr="002C6902">
        <w:rPr>
          <w:lang w:val="pl-PL"/>
        </w:rPr>
        <w:t>Systemu Informacji Sejmu</w:t>
      </w:r>
    </w:p>
    <w:p w14:paraId="68470694" w14:textId="77777777" w:rsidR="002C6902" w:rsidRDefault="002C6902" w:rsidP="00633C62">
      <w:pPr>
        <w:ind w:left="5670"/>
        <w:jc w:val="both"/>
        <w:rPr>
          <w:lang w:val="pl-PL"/>
        </w:rPr>
      </w:pPr>
    </w:p>
    <w:p w14:paraId="762A09AC" w14:textId="77777777" w:rsidR="002C6902" w:rsidRDefault="002C6902" w:rsidP="00633C62">
      <w:pPr>
        <w:ind w:left="5670"/>
        <w:jc w:val="both"/>
        <w:rPr>
          <w:lang w:val="pl-PL"/>
        </w:rPr>
      </w:pPr>
    </w:p>
    <w:p w14:paraId="3E55E722" w14:textId="77777777" w:rsidR="002C6902" w:rsidRPr="002C6902" w:rsidRDefault="002C6902" w:rsidP="00065FBA">
      <w:pPr>
        <w:jc w:val="both"/>
        <w:rPr>
          <w:lang w:val="pl-PL"/>
        </w:rPr>
      </w:pPr>
    </w:p>
    <w:p w14:paraId="56EE0AAD" w14:textId="77777777" w:rsidR="002C6902" w:rsidRDefault="002C6902" w:rsidP="00065FBA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STANOWISKO </w:t>
      </w:r>
    </w:p>
    <w:p w14:paraId="12D44081" w14:textId="441856D0" w:rsidR="00633C62" w:rsidRDefault="002C6902" w:rsidP="00065FBA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W SPRAWIE POSELSKIEGO PROJEKTU USTAWY O ZMIANIE USTAWY O REHABILITACJI ZAWODOWEJ I SPÓŁECZNEJ OSÓB NIEPEŁNOSPRAWNYCH</w:t>
      </w:r>
    </w:p>
    <w:p w14:paraId="54D5DED3" w14:textId="28C73020" w:rsidR="002C6902" w:rsidRDefault="002C6902" w:rsidP="00065FBA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[DRUK SEJMOWY NR 1187]</w:t>
      </w:r>
    </w:p>
    <w:p w14:paraId="48BF3B41" w14:textId="77777777" w:rsidR="00633C62" w:rsidRPr="00633C62" w:rsidRDefault="00633C62" w:rsidP="00065FBA">
      <w:pPr>
        <w:jc w:val="both"/>
        <w:rPr>
          <w:lang w:val="pl-PL"/>
        </w:rPr>
      </w:pPr>
    </w:p>
    <w:p w14:paraId="0DDC4425" w14:textId="77777777" w:rsidR="005959CD" w:rsidRPr="005959CD" w:rsidRDefault="005959CD" w:rsidP="005959CD">
      <w:pPr>
        <w:jc w:val="both"/>
        <w:rPr>
          <w:b/>
          <w:bCs/>
          <w:i/>
          <w:iCs/>
          <w:lang w:val="pl-PL"/>
        </w:rPr>
      </w:pPr>
      <w:r w:rsidRPr="005959CD">
        <w:rPr>
          <w:b/>
          <w:bCs/>
          <w:i/>
          <w:iCs/>
          <w:lang w:val="pl-PL"/>
        </w:rPr>
        <w:t>Szanowny Panie Marszałku,</w:t>
      </w:r>
    </w:p>
    <w:p w14:paraId="635702FB" w14:textId="77777777" w:rsidR="005959CD" w:rsidRPr="005959CD" w:rsidRDefault="005959CD" w:rsidP="005959CD">
      <w:pPr>
        <w:jc w:val="both"/>
        <w:rPr>
          <w:lang w:val="pl-PL"/>
        </w:rPr>
      </w:pPr>
    </w:p>
    <w:p w14:paraId="562EE8E0" w14:textId="77777777" w:rsidR="005959CD" w:rsidRDefault="005959CD" w:rsidP="005959CD">
      <w:pPr>
        <w:jc w:val="both"/>
        <w:rPr>
          <w:lang w:val="pl-PL"/>
        </w:rPr>
      </w:pPr>
      <w:r w:rsidRPr="005959CD">
        <w:rPr>
          <w:lang w:val="pl-PL"/>
        </w:rPr>
        <w:t>Polska Organizacja Pracodawców Osób Niepełnosprawnych (POPON) przedstawia stanowisko w sprawie poselskiego projektu ustawy o zmianie ustawy o rehabilitacji zawodowej i społecznej oraz zatrudnianiu osób niepełnosprawnych (druk sejmowy nr 1187).</w:t>
      </w:r>
    </w:p>
    <w:p w14:paraId="37C59797" w14:textId="32553E51" w:rsidR="005959CD" w:rsidRPr="005959CD" w:rsidRDefault="005959CD" w:rsidP="005959CD">
      <w:pPr>
        <w:jc w:val="both"/>
        <w:rPr>
          <w:lang w:val="pl-PL"/>
        </w:rPr>
      </w:pPr>
      <w:r>
        <w:rPr>
          <w:lang w:val="pl-PL"/>
        </w:rPr>
        <w:t xml:space="preserve"> </w:t>
      </w:r>
    </w:p>
    <w:p w14:paraId="60A8C45F" w14:textId="77777777" w:rsidR="005959CD" w:rsidRPr="005959CD" w:rsidRDefault="005959CD" w:rsidP="005959CD">
      <w:pPr>
        <w:jc w:val="both"/>
        <w:rPr>
          <w:lang w:val="pl-PL"/>
        </w:rPr>
      </w:pPr>
      <w:r w:rsidRPr="005959CD">
        <w:rPr>
          <w:lang w:val="pl-PL"/>
        </w:rPr>
        <w:t>POPON popiera wszelkie inicjatywy, które zmierzają do likwidacji barier w zatrudnianiu osób z niepełnosprawnością (</w:t>
      </w:r>
      <w:proofErr w:type="spellStart"/>
      <w:r w:rsidRPr="005959CD">
        <w:rPr>
          <w:lang w:val="pl-PL"/>
        </w:rPr>
        <w:t>OzN</w:t>
      </w:r>
      <w:proofErr w:type="spellEnd"/>
      <w:r w:rsidRPr="005959CD">
        <w:rPr>
          <w:lang w:val="pl-PL"/>
        </w:rPr>
        <w:t xml:space="preserve">) oraz upraszczania i racjonalizacji systemu wsparcia pracodawców zatrudniających </w:t>
      </w:r>
      <w:proofErr w:type="spellStart"/>
      <w:r w:rsidRPr="005959CD">
        <w:rPr>
          <w:lang w:val="pl-PL"/>
        </w:rPr>
        <w:t>OzN</w:t>
      </w:r>
      <w:proofErr w:type="spellEnd"/>
      <w:r w:rsidRPr="005959CD">
        <w:rPr>
          <w:lang w:val="pl-PL"/>
        </w:rPr>
        <w:t>. Projekt nowelizacji oceniamy zasadniczo pozytywnie, jednakże zgłaszamy następujące uwagi:</w:t>
      </w:r>
    </w:p>
    <w:p w14:paraId="45825909" w14:textId="3FAAC500" w:rsidR="005959CD" w:rsidRPr="005959CD" w:rsidRDefault="005959CD" w:rsidP="005959CD">
      <w:pPr>
        <w:jc w:val="both"/>
        <w:rPr>
          <w:lang w:val="pl-PL"/>
        </w:rPr>
      </w:pPr>
    </w:p>
    <w:p w14:paraId="349E9705" w14:textId="295DB872" w:rsidR="005959CD" w:rsidRPr="005959CD" w:rsidRDefault="005959CD" w:rsidP="005959CD">
      <w:pPr>
        <w:jc w:val="both"/>
        <w:rPr>
          <w:b/>
          <w:bCs/>
          <w:lang w:val="pl-PL"/>
        </w:rPr>
      </w:pPr>
      <w:r w:rsidRPr="005959CD">
        <w:rPr>
          <w:b/>
          <w:bCs/>
          <w:lang w:val="pl-PL"/>
        </w:rPr>
        <w:t>1. Charakter ulg we wpłatach na P</w:t>
      </w:r>
      <w:r w:rsidR="00C51003">
        <w:rPr>
          <w:b/>
          <w:bCs/>
          <w:lang w:val="pl-PL"/>
        </w:rPr>
        <w:t xml:space="preserve">aństwowy </w:t>
      </w:r>
      <w:r w:rsidRPr="005959CD">
        <w:rPr>
          <w:b/>
          <w:bCs/>
          <w:lang w:val="pl-PL"/>
        </w:rPr>
        <w:t>F</w:t>
      </w:r>
      <w:r w:rsidR="00C51003">
        <w:rPr>
          <w:b/>
          <w:bCs/>
          <w:lang w:val="pl-PL"/>
        </w:rPr>
        <w:t xml:space="preserve">undusz </w:t>
      </w:r>
      <w:r w:rsidRPr="005959CD">
        <w:rPr>
          <w:b/>
          <w:bCs/>
          <w:lang w:val="pl-PL"/>
        </w:rPr>
        <w:t>R</w:t>
      </w:r>
      <w:r w:rsidR="00C51003">
        <w:rPr>
          <w:b/>
          <w:bCs/>
          <w:lang w:val="pl-PL"/>
        </w:rPr>
        <w:t xml:space="preserve">ehabilitacji </w:t>
      </w:r>
      <w:r w:rsidRPr="005959CD">
        <w:rPr>
          <w:b/>
          <w:bCs/>
          <w:lang w:val="pl-PL"/>
        </w:rPr>
        <w:t>O</w:t>
      </w:r>
      <w:r w:rsidR="00C51003">
        <w:rPr>
          <w:b/>
          <w:bCs/>
          <w:lang w:val="pl-PL"/>
        </w:rPr>
        <w:t xml:space="preserve">sób </w:t>
      </w:r>
      <w:r w:rsidRPr="005959CD">
        <w:rPr>
          <w:b/>
          <w:bCs/>
          <w:lang w:val="pl-PL"/>
        </w:rPr>
        <w:t>N</w:t>
      </w:r>
      <w:r w:rsidR="00C51003">
        <w:rPr>
          <w:b/>
          <w:bCs/>
          <w:lang w:val="pl-PL"/>
        </w:rPr>
        <w:t>iepełnosprawnych (PFRON)</w:t>
      </w:r>
      <w:r w:rsidRPr="005959CD">
        <w:rPr>
          <w:b/>
          <w:bCs/>
          <w:lang w:val="pl-PL"/>
        </w:rPr>
        <w:t xml:space="preserve"> – prawo, a nie obowiązek sprzedającego</w:t>
      </w:r>
    </w:p>
    <w:p w14:paraId="4314721C" w14:textId="1165D054" w:rsidR="005959CD" w:rsidRPr="005959CD" w:rsidRDefault="005959CD" w:rsidP="005959CD">
      <w:pPr>
        <w:jc w:val="both"/>
        <w:rPr>
          <w:lang w:val="pl-PL"/>
        </w:rPr>
      </w:pPr>
      <w:r w:rsidRPr="005959CD">
        <w:rPr>
          <w:lang w:val="pl-PL"/>
        </w:rPr>
        <w:t xml:space="preserve">Zasadniczym postulatem POPON jest jednoznaczne wskazanie w przepisach, że udzielanie ulg we wpłatach na PFRON przez sprzedającego będącego uprawnionym podmiotem stanowi </w:t>
      </w:r>
      <w:r w:rsidRPr="005959CD">
        <w:rPr>
          <w:b/>
          <w:bCs/>
          <w:lang w:val="pl-PL"/>
        </w:rPr>
        <w:t>jego prawo, a nie obowiązek</w:t>
      </w:r>
      <w:r w:rsidRPr="005959CD">
        <w:rPr>
          <w:lang w:val="pl-PL"/>
        </w:rPr>
        <w:t xml:space="preserve">. Obecna konstrukcja przepisów może sugerować konieczność automatycznego informowania o uldze i jej udzielania, co wypacza ideę tego mechanizmu jako instrumentu wsparcia i </w:t>
      </w:r>
      <w:r>
        <w:rPr>
          <w:lang w:val="pl-PL"/>
        </w:rPr>
        <w:t xml:space="preserve">podniesienia </w:t>
      </w:r>
      <w:r w:rsidRPr="005959CD">
        <w:rPr>
          <w:lang w:val="pl-PL"/>
        </w:rPr>
        <w:t xml:space="preserve">konkurencyjności przedsiębiorstw zatrudniających </w:t>
      </w:r>
      <w:proofErr w:type="spellStart"/>
      <w:r w:rsidRPr="005959CD">
        <w:rPr>
          <w:lang w:val="pl-PL"/>
        </w:rPr>
        <w:t>OzN</w:t>
      </w:r>
      <w:proofErr w:type="spellEnd"/>
      <w:r w:rsidRPr="005959CD">
        <w:rPr>
          <w:lang w:val="pl-PL"/>
        </w:rPr>
        <w:t>.</w:t>
      </w:r>
    </w:p>
    <w:p w14:paraId="4CEFF7F9" w14:textId="43DBFAC9" w:rsidR="005959CD" w:rsidRDefault="005959CD" w:rsidP="005959CD">
      <w:pPr>
        <w:jc w:val="both"/>
        <w:rPr>
          <w:lang w:val="pl-PL"/>
        </w:rPr>
      </w:pPr>
      <w:r w:rsidRPr="005959CD">
        <w:rPr>
          <w:lang w:val="pl-PL"/>
        </w:rPr>
        <w:t xml:space="preserve">Należy wyraźnie w ustawie wskazać, że to </w:t>
      </w:r>
      <w:r w:rsidRPr="005959CD">
        <w:rPr>
          <w:b/>
          <w:bCs/>
          <w:lang w:val="pl-PL"/>
        </w:rPr>
        <w:t>sprzedający</w:t>
      </w:r>
      <w:r w:rsidRPr="005959CD">
        <w:rPr>
          <w:lang w:val="pl-PL"/>
        </w:rPr>
        <w:t xml:space="preserve"> decyduje, komu i kiedy udziela ulgi, co pozwoli przywrócić temu mechanizmowi jego właściwy charakter – </w:t>
      </w:r>
      <w:r w:rsidRPr="005959CD">
        <w:rPr>
          <w:b/>
          <w:bCs/>
          <w:lang w:val="pl-PL"/>
        </w:rPr>
        <w:t>zachęty i przywileju</w:t>
      </w:r>
      <w:r w:rsidRPr="005959CD">
        <w:rPr>
          <w:lang w:val="pl-PL"/>
        </w:rPr>
        <w:t>, a nie obowiązku administracyjnego.</w:t>
      </w:r>
      <w:r>
        <w:rPr>
          <w:lang w:val="pl-PL"/>
        </w:rPr>
        <w:t xml:space="preserve"> Aby to osiągnąć p</w:t>
      </w:r>
      <w:r w:rsidRPr="005959CD">
        <w:rPr>
          <w:lang w:val="pl-PL"/>
        </w:rPr>
        <w:t xml:space="preserve">roponujemy </w:t>
      </w:r>
      <w:r>
        <w:rPr>
          <w:lang w:val="pl-PL"/>
        </w:rPr>
        <w:t xml:space="preserve">zmianę i </w:t>
      </w:r>
      <w:r w:rsidRPr="005959CD">
        <w:rPr>
          <w:lang w:val="pl-PL"/>
        </w:rPr>
        <w:t>doprecyzowanie zapisu</w:t>
      </w:r>
      <w:r>
        <w:rPr>
          <w:lang w:val="pl-PL"/>
        </w:rPr>
        <w:t xml:space="preserve"> art. 22.ust 10 pkt 1.</w:t>
      </w:r>
    </w:p>
    <w:p w14:paraId="7DECBD64" w14:textId="77777777" w:rsidR="005959CD" w:rsidRDefault="005959CD" w:rsidP="005959CD">
      <w:pPr>
        <w:jc w:val="both"/>
        <w:rPr>
          <w:lang w:val="pl-PL"/>
        </w:rPr>
      </w:pPr>
    </w:p>
    <w:p w14:paraId="7FE8585E" w14:textId="77777777" w:rsidR="005959CD" w:rsidRDefault="005959CD" w:rsidP="005959CD">
      <w:pPr>
        <w:jc w:val="both"/>
        <w:rPr>
          <w:lang w:val="pl-PL"/>
        </w:rPr>
      </w:pPr>
      <w:r>
        <w:rPr>
          <w:b/>
          <w:bCs/>
          <w:lang w:val="pl-PL"/>
        </w:rPr>
        <w:t xml:space="preserve">2. </w:t>
      </w:r>
      <w:r w:rsidRPr="005959CD">
        <w:rPr>
          <w:b/>
          <w:bCs/>
          <w:lang w:val="pl-PL"/>
        </w:rPr>
        <w:t>Brzmienie art. 22 ust. 10 pkt 1</w:t>
      </w:r>
      <w:r w:rsidRPr="005959CD">
        <w:rPr>
          <w:lang w:val="pl-PL"/>
        </w:rPr>
        <w:t xml:space="preserve"> </w:t>
      </w:r>
    </w:p>
    <w:p w14:paraId="7365850E" w14:textId="19F60949" w:rsidR="005959CD" w:rsidRPr="005959CD" w:rsidRDefault="005959CD" w:rsidP="005959CD">
      <w:pPr>
        <w:jc w:val="both"/>
        <w:rPr>
          <w:lang w:val="pl-PL"/>
        </w:rPr>
      </w:pPr>
      <w:r>
        <w:rPr>
          <w:lang w:val="pl-PL"/>
        </w:rPr>
        <w:t>W</w:t>
      </w:r>
      <w:r w:rsidRPr="005959CD">
        <w:rPr>
          <w:lang w:val="pl-PL"/>
        </w:rPr>
        <w:t xml:space="preserve"> celu urealnienia obowiązków sprzedającego i uwzględnienia faktu, że ulga nie przysługuje automatycznie każdemu nabywcy. Sugerowana redakcja:</w:t>
      </w:r>
    </w:p>
    <w:p w14:paraId="18AE5F77" w14:textId="77777777" w:rsidR="005959CD" w:rsidRPr="005959CD" w:rsidRDefault="005959CD" w:rsidP="005959CD">
      <w:pPr>
        <w:jc w:val="both"/>
        <w:rPr>
          <w:lang w:val="pl-PL"/>
        </w:rPr>
      </w:pPr>
      <w:r w:rsidRPr="005959CD">
        <w:rPr>
          <w:lang w:val="pl-PL"/>
        </w:rPr>
        <w:t xml:space="preserve">„Sprzedający </w:t>
      </w:r>
      <w:r w:rsidRPr="005959CD">
        <w:rPr>
          <w:b/>
          <w:bCs/>
          <w:lang w:val="pl-PL"/>
        </w:rPr>
        <w:t>może wystawić informację o obniżeniu</w:t>
      </w:r>
      <w:r w:rsidRPr="005959CD">
        <w:rPr>
          <w:lang w:val="pl-PL"/>
        </w:rPr>
        <w:t xml:space="preserve"> wpłaty na wniosek kupującego, pod warunkiem: (...).”</w:t>
      </w:r>
    </w:p>
    <w:p w14:paraId="74910D5A" w14:textId="77777777" w:rsidR="005959CD" w:rsidRPr="005959CD" w:rsidRDefault="005959CD" w:rsidP="005959CD">
      <w:pPr>
        <w:jc w:val="both"/>
        <w:rPr>
          <w:lang w:val="pl-PL"/>
        </w:rPr>
      </w:pPr>
      <w:r w:rsidRPr="005959CD">
        <w:rPr>
          <w:lang w:val="pl-PL"/>
        </w:rPr>
        <w:t xml:space="preserve">Dzięki temu zachowana zostanie dobrowolność po stronie sprzedającego, co będzie spójne z postulatem uznania ulgi za jego </w:t>
      </w:r>
      <w:r w:rsidRPr="005959CD">
        <w:rPr>
          <w:b/>
          <w:bCs/>
          <w:lang w:val="pl-PL"/>
        </w:rPr>
        <w:t>prawo, a nie obowiązek</w:t>
      </w:r>
      <w:r w:rsidRPr="005959CD">
        <w:rPr>
          <w:lang w:val="pl-PL"/>
        </w:rPr>
        <w:t>.</w:t>
      </w:r>
    </w:p>
    <w:p w14:paraId="214725DF" w14:textId="7BBA2D94" w:rsidR="005959CD" w:rsidRPr="005959CD" w:rsidRDefault="005959CD" w:rsidP="005959CD">
      <w:pPr>
        <w:jc w:val="both"/>
        <w:rPr>
          <w:lang w:val="pl-PL"/>
        </w:rPr>
      </w:pPr>
    </w:p>
    <w:p w14:paraId="377F3988" w14:textId="77777777" w:rsidR="005959CD" w:rsidRDefault="005959CD" w:rsidP="005959CD">
      <w:pPr>
        <w:jc w:val="both"/>
        <w:rPr>
          <w:lang w:val="pl-PL"/>
        </w:rPr>
      </w:pPr>
    </w:p>
    <w:p w14:paraId="370C1BFE" w14:textId="00EA4C7E" w:rsidR="005959CD" w:rsidRPr="005959CD" w:rsidRDefault="005959CD" w:rsidP="005959CD">
      <w:pPr>
        <w:jc w:val="both"/>
        <w:rPr>
          <w:b/>
          <w:bCs/>
          <w:lang w:val="pl-PL"/>
        </w:rPr>
      </w:pPr>
      <w:r>
        <w:rPr>
          <w:b/>
          <w:bCs/>
          <w:lang w:val="pl-PL"/>
        </w:rPr>
        <w:t xml:space="preserve">3. </w:t>
      </w:r>
      <w:r w:rsidRPr="005959CD">
        <w:rPr>
          <w:b/>
          <w:bCs/>
          <w:lang w:val="pl-PL"/>
        </w:rPr>
        <w:t>Zniesienie obowiązku informacyjnego – art. 22 ust. 1a</w:t>
      </w:r>
    </w:p>
    <w:p w14:paraId="669AA04F" w14:textId="26CEF57E" w:rsidR="005959CD" w:rsidRDefault="005959CD" w:rsidP="005959CD">
      <w:pPr>
        <w:jc w:val="both"/>
        <w:rPr>
          <w:lang w:val="pl-PL"/>
        </w:rPr>
      </w:pPr>
      <w:r w:rsidRPr="005959CD">
        <w:rPr>
          <w:lang w:val="pl-PL"/>
        </w:rPr>
        <w:t xml:space="preserve">POPON popiera wykreślenie art. 22 ust. 1a ustawy. Zniesienie obowiązku informowania nabywcy o możliwości uzyskania obniżenia wpłaty na PFRON znacząco ograniczy zbędne obciążenia biurokratyczne. </w:t>
      </w:r>
    </w:p>
    <w:p w14:paraId="714D8ED4" w14:textId="77777777" w:rsidR="005959CD" w:rsidRDefault="005959CD" w:rsidP="005959CD">
      <w:pPr>
        <w:jc w:val="both"/>
        <w:rPr>
          <w:b/>
          <w:bCs/>
          <w:lang w:val="pl-PL"/>
        </w:rPr>
      </w:pPr>
    </w:p>
    <w:p w14:paraId="29FF9A1C" w14:textId="77777777" w:rsidR="005959CD" w:rsidRPr="005959CD" w:rsidRDefault="005959CD" w:rsidP="005959CD">
      <w:pPr>
        <w:jc w:val="both"/>
        <w:rPr>
          <w:b/>
          <w:bCs/>
          <w:lang w:val="pl-PL"/>
        </w:rPr>
      </w:pPr>
      <w:r w:rsidRPr="005959CD">
        <w:rPr>
          <w:b/>
          <w:bCs/>
          <w:lang w:val="pl-PL"/>
        </w:rPr>
        <w:t>4. Przepis sankcyjny – art. 22b ustawy</w:t>
      </w:r>
    </w:p>
    <w:p w14:paraId="4DC7F279" w14:textId="77777777" w:rsidR="005959CD" w:rsidRPr="005959CD" w:rsidRDefault="005959CD" w:rsidP="005959CD">
      <w:pPr>
        <w:jc w:val="both"/>
        <w:rPr>
          <w:lang w:val="pl-PL"/>
        </w:rPr>
      </w:pPr>
      <w:r w:rsidRPr="005959CD">
        <w:rPr>
          <w:lang w:val="pl-PL"/>
        </w:rPr>
        <w:t>Proponujemy zmianę art. 22b poprzez dodanie ust. 3 w następującym brzmieniu:</w:t>
      </w:r>
    </w:p>
    <w:p w14:paraId="0AADDEAE" w14:textId="77777777" w:rsidR="005959CD" w:rsidRPr="005959CD" w:rsidRDefault="005959CD" w:rsidP="005959CD">
      <w:pPr>
        <w:jc w:val="both"/>
        <w:rPr>
          <w:lang w:val="pl-PL"/>
        </w:rPr>
      </w:pPr>
      <w:r w:rsidRPr="005959CD">
        <w:rPr>
          <w:lang w:val="pl-PL"/>
        </w:rPr>
        <w:t>„3. Przepisu ust. 1 nie stosuje się, jeżeli kupujący nie skorzystał z prawa do obniżenia wpłat lub Fundusz nie dochodził od kupującego wpłat, o których mowa w art. 21 ust. 1 w prawidłowej wysokości.”</w:t>
      </w:r>
    </w:p>
    <w:p w14:paraId="4B448111" w14:textId="68824589" w:rsidR="005959CD" w:rsidRPr="005959CD" w:rsidRDefault="005959CD" w:rsidP="005959CD">
      <w:pPr>
        <w:jc w:val="both"/>
        <w:rPr>
          <w:lang w:val="pl-PL"/>
        </w:rPr>
      </w:pPr>
      <w:r w:rsidRPr="005959CD">
        <w:rPr>
          <w:lang w:val="pl-PL"/>
        </w:rPr>
        <w:t xml:space="preserve">Celem przepisu sankcyjnego jest ochrona interesów </w:t>
      </w:r>
      <w:r w:rsidR="00C51003">
        <w:rPr>
          <w:lang w:val="pl-PL"/>
        </w:rPr>
        <w:t>PFRON</w:t>
      </w:r>
      <w:r w:rsidRPr="005959CD">
        <w:rPr>
          <w:lang w:val="pl-PL"/>
        </w:rPr>
        <w:t xml:space="preserve">. W przypadku, gdy nie doszło do uszczuplenia wpłat lub </w:t>
      </w:r>
      <w:r w:rsidR="00C51003">
        <w:rPr>
          <w:lang w:val="pl-PL"/>
        </w:rPr>
        <w:t>PFRON</w:t>
      </w:r>
      <w:r w:rsidRPr="005959CD">
        <w:rPr>
          <w:lang w:val="pl-PL"/>
        </w:rPr>
        <w:t xml:space="preserve"> zaniechał ich dochodzenia, karanie pracodawcy za uchybienia formalne jest niecelowe i nieproporcjonalne.</w:t>
      </w:r>
    </w:p>
    <w:p w14:paraId="1E184A6F" w14:textId="0ECF0073" w:rsidR="005959CD" w:rsidRPr="005959CD" w:rsidRDefault="005959CD" w:rsidP="005959CD">
      <w:pPr>
        <w:jc w:val="both"/>
        <w:rPr>
          <w:lang w:val="pl-PL"/>
        </w:rPr>
      </w:pPr>
    </w:p>
    <w:p w14:paraId="24EC5553" w14:textId="77777777" w:rsidR="005959CD" w:rsidRPr="005959CD" w:rsidRDefault="005959CD" w:rsidP="005959CD">
      <w:pPr>
        <w:jc w:val="both"/>
        <w:rPr>
          <w:b/>
          <w:bCs/>
          <w:lang w:val="pl-PL"/>
        </w:rPr>
      </w:pPr>
      <w:r w:rsidRPr="005959CD">
        <w:rPr>
          <w:b/>
          <w:bCs/>
          <w:lang w:val="pl-PL"/>
        </w:rPr>
        <w:t>5. Obowiązek zapewnienia opieki medycznej – art. 28 ust. 1 pkt 3</w:t>
      </w:r>
    </w:p>
    <w:p w14:paraId="2BCB3F69" w14:textId="77777777" w:rsidR="00645FFC" w:rsidRDefault="005959CD" w:rsidP="005959CD">
      <w:pPr>
        <w:jc w:val="both"/>
        <w:rPr>
          <w:lang w:val="pl-PL"/>
        </w:rPr>
      </w:pPr>
      <w:r w:rsidRPr="005959CD">
        <w:rPr>
          <w:lang w:val="pl-PL"/>
        </w:rPr>
        <w:t xml:space="preserve">POPON zdecydowanie </w:t>
      </w:r>
      <w:r w:rsidRPr="005959CD">
        <w:rPr>
          <w:b/>
          <w:bCs/>
          <w:lang w:val="pl-PL"/>
        </w:rPr>
        <w:t>popiera zniesienie obowiązku zapewniania doraźnej opieki medycznej</w:t>
      </w:r>
      <w:r w:rsidRPr="005959CD">
        <w:rPr>
          <w:lang w:val="pl-PL"/>
        </w:rPr>
        <w:t xml:space="preserve">, jako rozwiązania przestarzałego i nieadekwatnego do realiów. </w:t>
      </w:r>
    </w:p>
    <w:p w14:paraId="22C778DC" w14:textId="77777777" w:rsidR="00645FFC" w:rsidRDefault="00645FFC" w:rsidP="005959CD">
      <w:pPr>
        <w:jc w:val="both"/>
        <w:rPr>
          <w:lang w:val="pl-PL"/>
        </w:rPr>
      </w:pPr>
    </w:p>
    <w:p w14:paraId="19921231" w14:textId="2F4C723E" w:rsidR="005959CD" w:rsidRPr="005959CD" w:rsidRDefault="005959CD" w:rsidP="005959CD">
      <w:pPr>
        <w:jc w:val="both"/>
        <w:rPr>
          <w:lang w:val="pl-PL"/>
        </w:rPr>
      </w:pPr>
      <w:r w:rsidRPr="005959CD">
        <w:rPr>
          <w:lang w:val="pl-PL"/>
        </w:rPr>
        <w:t xml:space="preserve">Jednocześnie stanowczo </w:t>
      </w:r>
      <w:r w:rsidRPr="005959CD">
        <w:rPr>
          <w:b/>
          <w:bCs/>
          <w:lang w:val="pl-PL"/>
        </w:rPr>
        <w:t>sprzeciwiamy się utrzymaniu obowiązku zapewnienia opieki specjalistycznej, poradnictwa i usług rehabilitacyjnych w brzmieniu „adekwatnie do potrzeb”</w:t>
      </w:r>
      <w:r w:rsidRPr="005959CD">
        <w:rPr>
          <w:lang w:val="pl-PL"/>
        </w:rPr>
        <w:t>.</w:t>
      </w:r>
    </w:p>
    <w:p w14:paraId="13D0AEC1" w14:textId="471CBB4A" w:rsidR="005959CD" w:rsidRDefault="005959CD" w:rsidP="005959CD">
      <w:pPr>
        <w:jc w:val="both"/>
        <w:rPr>
          <w:lang w:val="pl-PL"/>
        </w:rPr>
      </w:pPr>
      <w:r w:rsidRPr="005959CD">
        <w:rPr>
          <w:lang w:val="pl-PL"/>
        </w:rPr>
        <w:t xml:space="preserve">Sformułowanie to jest nieostre, rodzi niepewność prawną, stwarza ryzyko arbitralnych decyzji administracyjnych i może prowadzić do </w:t>
      </w:r>
      <w:r w:rsidRPr="005959CD">
        <w:rPr>
          <w:b/>
          <w:bCs/>
          <w:lang w:val="pl-PL"/>
        </w:rPr>
        <w:t>utraty statusu</w:t>
      </w:r>
      <w:r w:rsidR="00C51003">
        <w:rPr>
          <w:b/>
          <w:bCs/>
          <w:lang w:val="pl-PL"/>
        </w:rPr>
        <w:t xml:space="preserve"> zakładu pracy chronionej</w:t>
      </w:r>
      <w:r w:rsidRPr="005959CD">
        <w:rPr>
          <w:lang w:val="pl-PL"/>
        </w:rPr>
        <w:t>. W praktyce wymagałoby to zawierania</w:t>
      </w:r>
      <w:r>
        <w:rPr>
          <w:lang w:val="pl-PL"/>
        </w:rPr>
        <w:t>, przez zakłady pracy chronionej</w:t>
      </w:r>
      <w:r w:rsidRPr="005959CD">
        <w:rPr>
          <w:lang w:val="pl-PL"/>
        </w:rPr>
        <w:t xml:space="preserve"> umów z wieloma specjalistami, co jest kosztowne, trudne organizacyjnie i nieefektywne.</w:t>
      </w:r>
    </w:p>
    <w:p w14:paraId="1328D1CA" w14:textId="77777777" w:rsidR="00F30E02" w:rsidRPr="005959CD" w:rsidRDefault="00F30E02" w:rsidP="005959CD">
      <w:pPr>
        <w:jc w:val="both"/>
        <w:rPr>
          <w:lang w:val="pl-PL"/>
        </w:rPr>
      </w:pPr>
    </w:p>
    <w:p w14:paraId="2D0B8CD0" w14:textId="2DC2C378" w:rsidR="00645FFC" w:rsidRPr="00645FFC" w:rsidRDefault="00645FFC" w:rsidP="005959CD">
      <w:pPr>
        <w:jc w:val="both"/>
        <w:rPr>
          <w:lang w:val="pl-PL"/>
        </w:rPr>
      </w:pPr>
      <w:r w:rsidRPr="00645FFC">
        <w:rPr>
          <w:lang w:val="pl-PL"/>
        </w:rPr>
        <w:t>Aktualnie opieka medyczna, poradnictwo i usługi rehabilitacyjne w przypadku zakładów pracy chronionej są finansowane ze środków zgromadzonych na Zakładowym Funduszy Rehabilitacji Osób Niepełnosprawnych (ZFRON) w ramach:</w:t>
      </w:r>
    </w:p>
    <w:p w14:paraId="67A3C6FA" w14:textId="4A4CE521" w:rsidR="00645FFC" w:rsidRPr="00645FFC" w:rsidRDefault="00645FFC" w:rsidP="005959C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45FFC">
        <w:rPr>
          <w:rFonts w:ascii="Times New Roman" w:hAnsi="Times New Roman" w:cs="Times New Roman"/>
        </w:rPr>
        <w:t xml:space="preserve">tzw. </w:t>
      </w:r>
      <w:r w:rsidR="00C51003">
        <w:rPr>
          <w:rFonts w:ascii="Times New Roman" w:hAnsi="Times New Roman" w:cs="Times New Roman"/>
        </w:rPr>
        <w:t>puli ogólnej ZFRON</w:t>
      </w:r>
      <w:r w:rsidRPr="00645FFC">
        <w:rPr>
          <w:rFonts w:ascii="Times New Roman" w:hAnsi="Times New Roman" w:cs="Times New Roman"/>
        </w:rPr>
        <w:t xml:space="preserve"> – jako realizację zapewnienia ustawowego obowiązku wynikającego z art. 28 ust 1. pkt 3 ustawy o rehabilitacji – jest to opłacane w formie ryczałtu „za gotowość”</w:t>
      </w:r>
      <w:r w:rsidR="0051078E">
        <w:rPr>
          <w:rFonts w:ascii="Times New Roman" w:hAnsi="Times New Roman" w:cs="Times New Roman"/>
        </w:rPr>
        <w:t xml:space="preserve"> – podstawa prawna art. 28. Ust 1 pkt 3 ustawy o rehabilitacji </w:t>
      </w:r>
    </w:p>
    <w:p w14:paraId="24EA038E" w14:textId="1AB795F1" w:rsidR="00645FFC" w:rsidRPr="00645FFC" w:rsidRDefault="00645FFC" w:rsidP="005959C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45FFC">
        <w:rPr>
          <w:rFonts w:ascii="Times New Roman" w:hAnsi="Times New Roman" w:cs="Times New Roman"/>
        </w:rPr>
        <w:t xml:space="preserve">dodatkowo jako pomoc indywidulną udzielaną na wniosek osoby z niepełnosprawnościami, zgodnie z jej indywidualnymi potrzebami </w:t>
      </w:r>
      <w:r w:rsidR="0051078E">
        <w:rPr>
          <w:rFonts w:ascii="Times New Roman" w:hAnsi="Times New Roman" w:cs="Times New Roman"/>
        </w:rPr>
        <w:t xml:space="preserve">– podstawa prawa art. 33 ust 3 pkt 5 ustawy o rehabilitacji oraz Rozporządzenie MPIPS z 19 grudnia 2007 r w sprawie zakładowego funduszu rehabilitacji osób niepełnosprawnych </w:t>
      </w:r>
    </w:p>
    <w:p w14:paraId="271A3A27" w14:textId="29CFBCDA" w:rsidR="00645FFC" w:rsidRPr="0051078E" w:rsidRDefault="00645FFC" w:rsidP="0051078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45FFC">
        <w:rPr>
          <w:rFonts w:ascii="Times New Roman" w:hAnsi="Times New Roman" w:cs="Times New Roman"/>
        </w:rPr>
        <w:t>dodatkowo w przypadku osób objętych Indywidualnymi Programami Rehabilitacji jako działania zaplanowane w ramach IPR które mają na celu zmniejszenie ograniczeń zawodowych</w:t>
      </w:r>
      <w:r w:rsidR="0051078E">
        <w:rPr>
          <w:rFonts w:ascii="Times New Roman" w:hAnsi="Times New Roman" w:cs="Times New Roman"/>
        </w:rPr>
        <w:t xml:space="preserve"> – podstawa prawna art. 33 ust 3 pkt 4 ustawy o rehabilitacji oraz Rozporządzenie MPIPS z 19 grudnia 2007 r w sprawie zakładowego funduszu rehabilitacji osób niepełnosprawnych </w:t>
      </w:r>
    </w:p>
    <w:p w14:paraId="7DD627EA" w14:textId="64665CD4" w:rsidR="00BD7652" w:rsidRDefault="00645FFC" w:rsidP="00BD7652">
      <w:pPr>
        <w:jc w:val="both"/>
        <w:rPr>
          <w:lang w:val="pl-PL"/>
        </w:rPr>
      </w:pPr>
      <w:r w:rsidRPr="00645FFC">
        <w:rPr>
          <w:lang w:val="pl-PL"/>
        </w:rPr>
        <w:t>Dot</w:t>
      </w:r>
      <w:r>
        <w:rPr>
          <w:lang w:val="pl-PL"/>
        </w:rPr>
        <w:t>ychczasowa praktyka pokazuje</w:t>
      </w:r>
      <w:r w:rsidR="009A3033">
        <w:rPr>
          <w:lang w:val="pl-PL"/>
        </w:rPr>
        <w:t>,</w:t>
      </w:r>
      <w:r>
        <w:rPr>
          <w:lang w:val="pl-PL"/>
        </w:rPr>
        <w:t xml:space="preserve"> że osoby z niepełnosprawnością</w:t>
      </w:r>
      <w:r w:rsidRPr="005959CD">
        <w:rPr>
          <w:lang w:val="pl-PL"/>
        </w:rPr>
        <w:t xml:space="preserve"> wolą korzystać z „własnych” lekarzy i refundować koszty z ZFRON</w:t>
      </w:r>
      <w:r>
        <w:rPr>
          <w:lang w:val="pl-PL"/>
        </w:rPr>
        <w:t xml:space="preserve"> w ramach pomocy indywidualnej lub </w:t>
      </w:r>
      <w:r w:rsidR="00C51003">
        <w:rPr>
          <w:lang w:val="pl-PL"/>
        </w:rPr>
        <w:t>indywidualnych programów rehabilitacji</w:t>
      </w:r>
      <w:r w:rsidRPr="005959CD">
        <w:rPr>
          <w:lang w:val="pl-PL"/>
        </w:rPr>
        <w:t xml:space="preserve"> niż korzystać z lekarza wskazanego przez pracodawcę.</w:t>
      </w:r>
      <w:r>
        <w:rPr>
          <w:lang w:val="pl-PL"/>
        </w:rPr>
        <w:t xml:space="preserve"> </w:t>
      </w:r>
      <w:r w:rsidR="00BD7652">
        <w:rPr>
          <w:lang w:val="pl-PL"/>
        </w:rPr>
        <w:t xml:space="preserve">(Raport </w:t>
      </w:r>
      <w:r w:rsidR="00BD7652" w:rsidRPr="009A3033">
        <w:rPr>
          <w:lang w:val="pl-PL"/>
        </w:rPr>
        <w:t>„Badanie Zakładów Pracy Chronionej”</w:t>
      </w:r>
      <w:r w:rsidR="00BD7652">
        <w:rPr>
          <w:lang w:val="pl-PL"/>
        </w:rPr>
        <w:t xml:space="preserve"> opracowany na zlecenie PFRON wskazuje, że „</w:t>
      </w:r>
      <w:r w:rsidR="00BD7652" w:rsidRPr="009A3033">
        <w:rPr>
          <w:lang w:val="pl-PL"/>
        </w:rPr>
        <w:t>Najważniejszą pozycją w wydatkach ZFRON pod względem wielkości są wydatki na pomoc indywidualną dla osób niepełnosprawnych.</w:t>
      </w:r>
      <w:r w:rsidR="00BD7652">
        <w:rPr>
          <w:lang w:val="pl-PL"/>
        </w:rPr>
        <w:t xml:space="preserve">” Strona 73 oraz strona 76 kategorie wydatków w ramach pomocy indywidualnej </w:t>
      </w:r>
      <w:r w:rsidR="00BD7652">
        <w:fldChar w:fldCharType="begin"/>
      </w:r>
      <w:r w:rsidR="00BD7652" w:rsidRPr="008E01D7">
        <w:rPr>
          <w:lang w:val="pl-PL"/>
        </w:rPr>
        <w:instrText>HYPERLINK "https://www.pfron.org.pl/aktualnosci/szczegoly-aktualnosci/news/raport-koncowy-z-badania-zaklady-pracy-chronionej-w-polsce/"</w:instrText>
      </w:r>
      <w:r w:rsidR="00BD7652">
        <w:fldChar w:fldCharType="separate"/>
      </w:r>
      <w:r w:rsidR="00BD7652" w:rsidRPr="003C7A3D">
        <w:rPr>
          <w:rStyle w:val="Hipercze"/>
          <w:lang w:val="pl-PL"/>
        </w:rPr>
        <w:t>https://www.pfron.org.pl/aktualnosci/szczegoly-aktualnosci/news/raport-koncowy-z-badania-zaklady-pracy-chronionej-w-polsce/</w:t>
      </w:r>
      <w:r w:rsidR="00BD7652">
        <w:fldChar w:fldCharType="end"/>
      </w:r>
      <w:r w:rsidR="00BD7652">
        <w:rPr>
          <w:lang w:val="pl-PL"/>
        </w:rPr>
        <w:t>)</w:t>
      </w:r>
    </w:p>
    <w:p w14:paraId="1BC64820" w14:textId="77777777" w:rsidR="00BD7652" w:rsidRDefault="00BD7652" w:rsidP="00BD7652">
      <w:pPr>
        <w:jc w:val="both"/>
        <w:rPr>
          <w:lang w:val="pl-PL"/>
        </w:rPr>
      </w:pPr>
    </w:p>
    <w:p w14:paraId="321FA282" w14:textId="20C9C0E1" w:rsidR="00BD7652" w:rsidRDefault="00BD7652" w:rsidP="00645FFC">
      <w:pPr>
        <w:jc w:val="both"/>
        <w:rPr>
          <w:lang w:val="pl-PL"/>
        </w:rPr>
      </w:pPr>
    </w:p>
    <w:p w14:paraId="558BF478" w14:textId="77777777" w:rsidR="00BD7652" w:rsidRDefault="00BD7652" w:rsidP="00645FFC">
      <w:pPr>
        <w:jc w:val="both"/>
        <w:rPr>
          <w:lang w:val="pl-PL"/>
        </w:rPr>
      </w:pPr>
    </w:p>
    <w:p w14:paraId="6D9D589E" w14:textId="4056F08C" w:rsidR="00C51003" w:rsidRPr="00C51003" w:rsidRDefault="00645FFC" w:rsidP="00C51003">
      <w:pPr>
        <w:jc w:val="both"/>
        <w:rPr>
          <w:lang w:val="pl-PL"/>
        </w:rPr>
      </w:pPr>
      <w:r>
        <w:rPr>
          <w:lang w:val="pl-PL"/>
        </w:rPr>
        <w:t>W takim ujęciu ponoszenie zryczałtowanych kosztów „za gotowość” do zapewnienia opieki medycz</w:t>
      </w:r>
      <w:r w:rsidR="00C51003">
        <w:rPr>
          <w:lang w:val="pl-PL"/>
        </w:rPr>
        <w:t xml:space="preserve">nej </w:t>
      </w:r>
      <w:r>
        <w:rPr>
          <w:lang w:val="pl-PL"/>
        </w:rPr>
        <w:t>jest nieracjonalne i nieoszczędne.</w:t>
      </w:r>
      <w:r w:rsidR="00C51003">
        <w:rPr>
          <w:lang w:val="pl-PL"/>
        </w:rPr>
        <w:t xml:space="preserve"> Bardziej efektywne jest finansowanie opieki medycznej przez zakłady pracy chronionej tak jak jest to w obecnej formie ze środków ZFRON w ramach pomocy indywidualnej lub indywidualnych programów rehabilitacji. Działanie takie </w:t>
      </w:r>
      <w:r w:rsidR="00C51003" w:rsidRPr="00C51003">
        <w:rPr>
          <w:lang w:val="pl-PL"/>
        </w:rPr>
        <w:t>potwierdz</w:t>
      </w:r>
      <w:r w:rsidR="00C51003">
        <w:rPr>
          <w:lang w:val="pl-PL"/>
        </w:rPr>
        <w:t>a</w:t>
      </w:r>
      <w:r w:rsidR="00C51003" w:rsidRPr="00C51003">
        <w:rPr>
          <w:lang w:val="pl-PL"/>
        </w:rPr>
        <w:t xml:space="preserve"> prawa </w:t>
      </w:r>
      <w:proofErr w:type="spellStart"/>
      <w:r w:rsidR="00C51003" w:rsidRPr="00C51003">
        <w:rPr>
          <w:lang w:val="pl-PL"/>
        </w:rPr>
        <w:t>OzN</w:t>
      </w:r>
      <w:proofErr w:type="spellEnd"/>
      <w:r w:rsidR="00C51003" w:rsidRPr="00C51003">
        <w:rPr>
          <w:lang w:val="pl-PL"/>
        </w:rPr>
        <w:t xml:space="preserve"> do realnego współfinansowania opieki medycznej zgodnie z zasadą samostanowienia </w:t>
      </w:r>
      <w:proofErr w:type="spellStart"/>
      <w:r w:rsidR="00C51003" w:rsidRPr="00C51003">
        <w:rPr>
          <w:lang w:val="pl-PL"/>
        </w:rPr>
        <w:t>OzN</w:t>
      </w:r>
      <w:proofErr w:type="spellEnd"/>
      <w:r w:rsidR="00C51003" w:rsidRPr="00C51003">
        <w:rPr>
          <w:lang w:val="pl-PL"/>
        </w:rPr>
        <w:t>.</w:t>
      </w:r>
    </w:p>
    <w:p w14:paraId="60104645" w14:textId="485D902C" w:rsidR="00645FFC" w:rsidRDefault="00645FFC" w:rsidP="00645FFC">
      <w:pPr>
        <w:jc w:val="both"/>
        <w:rPr>
          <w:lang w:val="pl-PL"/>
        </w:rPr>
      </w:pPr>
    </w:p>
    <w:p w14:paraId="7D301D04" w14:textId="77777777" w:rsidR="009A3033" w:rsidRDefault="009A3033" w:rsidP="00645FFC">
      <w:pPr>
        <w:jc w:val="both"/>
        <w:rPr>
          <w:lang w:val="pl-PL"/>
        </w:rPr>
      </w:pPr>
    </w:p>
    <w:p w14:paraId="462F33E6" w14:textId="77777777" w:rsidR="00BD7652" w:rsidRDefault="00BD7652" w:rsidP="00BD7652">
      <w:pPr>
        <w:jc w:val="both"/>
        <w:rPr>
          <w:b/>
          <w:bCs/>
          <w:lang w:val="pl-PL"/>
        </w:rPr>
      </w:pPr>
      <w:r>
        <w:rPr>
          <w:lang w:val="pl-PL"/>
        </w:rPr>
        <w:t xml:space="preserve">Proponujemy </w:t>
      </w:r>
      <w:r w:rsidRPr="00F30E02">
        <w:rPr>
          <w:lang w:val="pl-PL"/>
        </w:rPr>
        <w:t xml:space="preserve">więc </w:t>
      </w:r>
      <w:r w:rsidRPr="00F30E02">
        <w:rPr>
          <w:b/>
          <w:bCs/>
          <w:lang w:val="pl-PL"/>
        </w:rPr>
        <w:t>całkowite wykreślenie art. 28ust 1 pkt 3</w:t>
      </w:r>
    </w:p>
    <w:p w14:paraId="005EFF82" w14:textId="77777777" w:rsidR="00BD7652" w:rsidRDefault="00BD7652" w:rsidP="00BD7652">
      <w:pPr>
        <w:jc w:val="both"/>
        <w:rPr>
          <w:b/>
          <w:bCs/>
          <w:lang w:val="pl-PL"/>
        </w:rPr>
      </w:pPr>
    </w:p>
    <w:p w14:paraId="607EA44D" w14:textId="77777777" w:rsidR="00BD7652" w:rsidRPr="0051078E" w:rsidRDefault="00BD7652" w:rsidP="00BD7652">
      <w:pPr>
        <w:jc w:val="both"/>
        <w:rPr>
          <w:lang w:val="pl-PL"/>
        </w:rPr>
      </w:pPr>
      <w:r>
        <w:rPr>
          <w:lang w:val="pl-PL"/>
        </w:rPr>
        <w:t>Jednocześnie przypominamy, iż w przypadku zakładów pracy chronionej i innych dysponentów ZFRON, zgodnie z art. 33 ust 4 c ustawy o rehabilitacji, niewykorzystane do końca grudnia roku następnego, środki zakładowego funduszu rehabilitacji osób niepełnosprawnych (ZFRON) podlegają przekazaniu do Państwowego Funduszu Rehabilitacji Osób Niepełnosprawnych (PFRON).</w:t>
      </w:r>
    </w:p>
    <w:p w14:paraId="798166BF" w14:textId="77777777" w:rsidR="009A3033" w:rsidRDefault="009A3033" w:rsidP="00645FFC">
      <w:pPr>
        <w:jc w:val="both"/>
        <w:rPr>
          <w:lang w:val="pl-PL"/>
        </w:rPr>
      </w:pPr>
    </w:p>
    <w:p w14:paraId="1B4CCF73" w14:textId="7E305EEE" w:rsidR="005959CD" w:rsidRPr="005959CD" w:rsidRDefault="005959CD" w:rsidP="005959CD">
      <w:pPr>
        <w:jc w:val="both"/>
        <w:rPr>
          <w:lang w:val="pl-PL"/>
        </w:rPr>
      </w:pPr>
    </w:p>
    <w:p w14:paraId="6CBF22ED" w14:textId="77777777" w:rsidR="005959CD" w:rsidRPr="005959CD" w:rsidRDefault="005959CD" w:rsidP="005959CD">
      <w:pPr>
        <w:jc w:val="both"/>
        <w:rPr>
          <w:b/>
          <w:bCs/>
          <w:lang w:val="pl-PL"/>
        </w:rPr>
      </w:pPr>
      <w:r w:rsidRPr="005959CD">
        <w:rPr>
          <w:b/>
          <w:bCs/>
          <w:lang w:val="pl-PL"/>
        </w:rPr>
        <w:t>6. Propozycja zmiany modelu – delegacja ustawowa</w:t>
      </w:r>
    </w:p>
    <w:p w14:paraId="7BABC81E" w14:textId="453D92E6" w:rsidR="005959CD" w:rsidRPr="00C2040F" w:rsidRDefault="005959CD" w:rsidP="005959CD">
      <w:pPr>
        <w:jc w:val="both"/>
        <w:rPr>
          <w:b/>
          <w:bCs/>
          <w:lang w:val="pl-PL"/>
        </w:rPr>
      </w:pPr>
      <w:r w:rsidRPr="005959CD">
        <w:rPr>
          <w:lang w:val="pl-PL"/>
        </w:rPr>
        <w:t xml:space="preserve">W związku </w:t>
      </w:r>
      <w:r w:rsidR="00F30E02">
        <w:rPr>
          <w:lang w:val="pl-PL"/>
        </w:rPr>
        <w:t>z tym, iż</w:t>
      </w:r>
      <w:r w:rsidRPr="005959CD">
        <w:rPr>
          <w:lang w:val="pl-PL"/>
        </w:rPr>
        <w:t xml:space="preserve"> art. 28 ust. 1 pkt 3</w:t>
      </w:r>
      <w:r w:rsidR="00F30E02">
        <w:rPr>
          <w:lang w:val="pl-PL"/>
        </w:rPr>
        <w:t xml:space="preserve"> dotyczy obowiązków zarówno zakładów pracy chronionej jak i zakładów aktywności zawodowej i nie uwzględnia całkowicie innej struktury zatrudnienia a także modelu prowadzenie działalności biznesowej przez te podmioty </w:t>
      </w:r>
      <w:r w:rsidR="00F30E02" w:rsidRPr="005959CD">
        <w:rPr>
          <w:lang w:val="pl-PL"/>
        </w:rPr>
        <w:t>postulujemy</w:t>
      </w:r>
      <w:r w:rsidR="00F30E02">
        <w:rPr>
          <w:lang w:val="pl-PL"/>
        </w:rPr>
        <w:t xml:space="preserve"> </w:t>
      </w:r>
      <w:r w:rsidR="00F30E02" w:rsidRPr="00C2040F">
        <w:rPr>
          <w:b/>
          <w:bCs/>
          <w:lang w:val="pl-PL"/>
        </w:rPr>
        <w:t xml:space="preserve">wykreślenie art. 28 ust. 1 pkt 3 </w:t>
      </w:r>
      <w:r w:rsidRPr="00C2040F">
        <w:rPr>
          <w:b/>
          <w:bCs/>
          <w:lang w:val="pl-PL"/>
        </w:rPr>
        <w:t xml:space="preserve">oraz zmianę art. 29 ust. </w:t>
      </w:r>
      <w:r w:rsidR="00F30E02" w:rsidRPr="00C2040F">
        <w:rPr>
          <w:b/>
          <w:bCs/>
          <w:lang w:val="pl-PL"/>
        </w:rPr>
        <w:t>1 pkt 2</w:t>
      </w:r>
      <w:r w:rsidR="00C2040F">
        <w:rPr>
          <w:b/>
          <w:bCs/>
          <w:lang w:val="pl-PL"/>
        </w:rPr>
        <w:t xml:space="preserve"> na:</w:t>
      </w:r>
    </w:p>
    <w:p w14:paraId="2DF060A4" w14:textId="23C09910" w:rsidR="005959CD" w:rsidRDefault="005959CD" w:rsidP="00F30E02">
      <w:pPr>
        <w:jc w:val="both"/>
        <w:rPr>
          <w:lang w:val="pl-PL"/>
        </w:rPr>
      </w:pPr>
      <w:r w:rsidRPr="005959CD">
        <w:rPr>
          <w:lang w:val="pl-PL"/>
        </w:rPr>
        <w:t xml:space="preserve">„4) </w:t>
      </w:r>
      <w:r w:rsidR="00F30E02">
        <w:rPr>
          <w:lang w:val="pl-PL"/>
        </w:rPr>
        <w:t xml:space="preserve">zapewnia </w:t>
      </w:r>
      <w:r w:rsidR="00F30E02" w:rsidRPr="00F30E02">
        <w:rPr>
          <w:lang w:val="pl-PL"/>
        </w:rPr>
        <w:t>specjalistyczn</w:t>
      </w:r>
      <w:r w:rsidR="00F30E02">
        <w:rPr>
          <w:lang w:val="pl-PL"/>
        </w:rPr>
        <w:t>ą</w:t>
      </w:r>
      <w:r w:rsidR="00F30E02" w:rsidRPr="00F30E02">
        <w:rPr>
          <w:lang w:val="pl-PL"/>
        </w:rPr>
        <w:t xml:space="preserve"> opiek</w:t>
      </w:r>
      <w:r w:rsidR="00F30E02">
        <w:rPr>
          <w:lang w:val="pl-PL"/>
        </w:rPr>
        <w:t>ę</w:t>
      </w:r>
      <w:r w:rsidR="00F30E02" w:rsidRPr="00F30E02">
        <w:rPr>
          <w:lang w:val="pl-PL"/>
        </w:rPr>
        <w:t xml:space="preserve"> medyczna, poradnictwo i usługi rehabilitacyjne;</w:t>
      </w:r>
      <w:r w:rsidR="00F30E02">
        <w:rPr>
          <w:lang w:val="pl-PL"/>
        </w:rPr>
        <w:t>”</w:t>
      </w:r>
    </w:p>
    <w:p w14:paraId="4A0AD934" w14:textId="62570273" w:rsidR="00C2040F" w:rsidRPr="005959CD" w:rsidRDefault="00C2040F" w:rsidP="00C2040F">
      <w:pPr>
        <w:jc w:val="both"/>
        <w:rPr>
          <w:lang w:val="pl-PL"/>
        </w:rPr>
      </w:pPr>
      <w:r>
        <w:rPr>
          <w:lang w:val="pl-PL"/>
        </w:rPr>
        <w:t>Odnosząc się do pierwotnego brzemienia proponowanych zapisów nowelizacji proponujemy rezygnacje z zapisów</w:t>
      </w:r>
      <w:r w:rsidR="00C51003">
        <w:rPr>
          <w:lang w:val="pl-PL"/>
        </w:rPr>
        <w:t>,</w:t>
      </w:r>
      <w:r>
        <w:rPr>
          <w:lang w:val="pl-PL"/>
        </w:rPr>
        <w:t xml:space="preserve"> które nakazują</w:t>
      </w:r>
      <w:r w:rsidRPr="005959CD">
        <w:rPr>
          <w:b/>
          <w:bCs/>
          <w:lang w:val="pl-PL"/>
        </w:rPr>
        <w:t xml:space="preserve"> utrzymani</w:t>
      </w:r>
      <w:r>
        <w:rPr>
          <w:b/>
          <w:bCs/>
          <w:lang w:val="pl-PL"/>
        </w:rPr>
        <w:t>e</w:t>
      </w:r>
      <w:r w:rsidRPr="005959CD">
        <w:rPr>
          <w:b/>
          <w:bCs/>
          <w:lang w:val="pl-PL"/>
        </w:rPr>
        <w:t xml:space="preserve"> obowiązku zapewnienia opieki specjalistycznej, poradnictwa i usług rehabilitacyjnych w brzmieniu „adekwatnie do potrzeb”</w:t>
      </w:r>
      <w:r w:rsidRPr="005959CD">
        <w:rPr>
          <w:lang w:val="pl-PL"/>
        </w:rPr>
        <w:t>.</w:t>
      </w:r>
    </w:p>
    <w:p w14:paraId="1D3B833F" w14:textId="1B490A65" w:rsidR="00C2040F" w:rsidRDefault="00C2040F" w:rsidP="00C2040F">
      <w:pPr>
        <w:jc w:val="both"/>
        <w:rPr>
          <w:lang w:val="pl-PL"/>
        </w:rPr>
      </w:pPr>
      <w:r w:rsidRPr="005959CD">
        <w:rPr>
          <w:lang w:val="pl-PL"/>
        </w:rPr>
        <w:t xml:space="preserve">Sformułowanie to jest nieostre, rodzi niepewność prawną, stwarza ryzyko arbitralnych decyzji administracyjnych i może prowadzić do </w:t>
      </w:r>
      <w:r w:rsidRPr="005959CD">
        <w:rPr>
          <w:b/>
          <w:bCs/>
          <w:lang w:val="pl-PL"/>
        </w:rPr>
        <w:t xml:space="preserve">utraty statusu </w:t>
      </w:r>
      <w:r w:rsidR="00C51003">
        <w:rPr>
          <w:b/>
          <w:bCs/>
          <w:lang w:val="pl-PL"/>
        </w:rPr>
        <w:t>zakładu aktywności zawodowej.</w:t>
      </w:r>
      <w:r w:rsidRPr="005959CD">
        <w:rPr>
          <w:lang w:val="pl-PL"/>
        </w:rPr>
        <w:t xml:space="preserve"> </w:t>
      </w:r>
    </w:p>
    <w:p w14:paraId="1C484714" w14:textId="77777777" w:rsidR="00F30E02" w:rsidRPr="005959CD" w:rsidRDefault="00F30E02" w:rsidP="00F30E02">
      <w:pPr>
        <w:jc w:val="both"/>
        <w:rPr>
          <w:lang w:val="pl-PL"/>
        </w:rPr>
      </w:pPr>
    </w:p>
    <w:p w14:paraId="79B848D8" w14:textId="1BDB7A13" w:rsidR="005959CD" w:rsidRPr="005959CD" w:rsidRDefault="005959CD" w:rsidP="005959CD">
      <w:pPr>
        <w:jc w:val="both"/>
        <w:rPr>
          <w:lang w:val="pl-PL"/>
        </w:rPr>
      </w:pPr>
    </w:p>
    <w:p w14:paraId="2DCF7B6F" w14:textId="1368D413" w:rsidR="005959CD" w:rsidRDefault="005959CD" w:rsidP="005959CD">
      <w:pPr>
        <w:jc w:val="both"/>
        <w:rPr>
          <w:b/>
          <w:bCs/>
          <w:lang w:val="pl-PL"/>
        </w:rPr>
      </w:pPr>
      <w:r w:rsidRPr="005959CD">
        <w:rPr>
          <w:b/>
          <w:bCs/>
          <w:lang w:val="pl-PL"/>
        </w:rPr>
        <w:t xml:space="preserve">7. Wskaźnik zatrudnienia w </w:t>
      </w:r>
      <w:r w:rsidR="00C51003">
        <w:rPr>
          <w:b/>
          <w:bCs/>
          <w:lang w:val="pl-PL"/>
        </w:rPr>
        <w:t>zakładach aktywności zawodowej (ZAZ).</w:t>
      </w:r>
    </w:p>
    <w:p w14:paraId="504B5EFF" w14:textId="56DE14A0" w:rsidR="00C2040F" w:rsidRDefault="00C2040F" w:rsidP="005959CD">
      <w:pPr>
        <w:jc w:val="both"/>
        <w:rPr>
          <w:lang w:val="pl-PL"/>
        </w:rPr>
      </w:pPr>
      <w:r w:rsidRPr="00C2040F">
        <w:rPr>
          <w:lang w:val="pl-PL"/>
        </w:rPr>
        <w:t>W zakresie zmian w art. 29 ustawy należy pozytywnie ocenić zmiany zmierzające do uelastyczniania warunków administracyjnych związanych z przyznawaniem i utrzymywaniem statusu zakładu aktywizacji zawodowej</w:t>
      </w:r>
      <w:r>
        <w:rPr>
          <w:lang w:val="pl-PL"/>
        </w:rPr>
        <w:t xml:space="preserve"> i przyczyniające się do zwiększenia ilości osób z niepełnosprawnościami, które dzięki aktywizacji w ZAZ będą mogły podjąć zatrudnienie na otwartym rynku pracy.</w:t>
      </w:r>
    </w:p>
    <w:p w14:paraId="3D471A31" w14:textId="00001571" w:rsidR="005959CD" w:rsidRDefault="005959CD" w:rsidP="005959CD">
      <w:pPr>
        <w:jc w:val="both"/>
        <w:rPr>
          <w:lang w:val="pl-PL"/>
        </w:rPr>
      </w:pPr>
    </w:p>
    <w:p w14:paraId="1227F876" w14:textId="77777777" w:rsidR="00C2040F" w:rsidRPr="005959CD" w:rsidRDefault="00C2040F" w:rsidP="005959CD">
      <w:pPr>
        <w:jc w:val="both"/>
        <w:rPr>
          <w:lang w:val="pl-PL"/>
        </w:rPr>
      </w:pPr>
    </w:p>
    <w:p w14:paraId="6BC4A86F" w14:textId="77777777" w:rsidR="005959CD" w:rsidRPr="005959CD" w:rsidRDefault="005959CD" w:rsidP="005959CD">
      <w:pPr>
        <w:jc w:val="both"/>
        <w:rPr>
          <w:b/>
          <w:bCs/>
          <w:lang w:val="pl-PL"/>
        </w:rPr>
      </w:pPr>
      <w:r w:rsidRPr="005959CD">
        <w:rPr>
          <w:b/>
          <w:bCs/>
          <w:lang w:val="pl-PL"/>
        </w:rPr>
        <w:t>Podsumowanie</w:t>
      </w:r>
    </w:p>
    <w:p w14:paraId="727E93F8" w14:textId="77777777" w:rsidR="005959CD" w:rsidRPr="005959CD" w:rsidRDefault="005959CD" w:rsidP="005959CD">
      <w:pPr>
        <w:jc w:val="both"/>
        <w:rPr>
          <w:lang w:val="pl-PL"/>
        </w:rPr>
      </w:pPr>
      <w:r w:rsidRPr="005959CD">
        <w:rPr>
          <w:lang w:val="pl-PL"/>
        </w:rPr>
        <w:t>POPON postuluje:</w:t>
      </w:r>
    </w:p>
    <w:p w14:paraId="7CFF95CA" w14:textId="680683CF" w:rsidR="005959CD" w:rsidRPr="005959CD" w:rsidRDefault="005959CD" w:rsidP="005959CD">
      <w:pPr>
        <w:numPr>
          <w:ilvl w:val="0"/>
          <w:numId w:val="6"/>
        </w:numPr>
        <w:jc w:val="both"/>
        <w:rPr>
          <w:lang w:val="pl-PL"/>
        </w:rPr>
      </w:pPr>
      <w:r w:rsidRPr="005959CD">
        <w:rPr>
          <w:lang w:val="pl-PL"/>
        </w:rPr>
        <w:t xml:space="preserve">jednoznaczne wskazanie, że ulga PFRON to </w:t>
      </w:r>
      <w:r w:rsidRPr="005959CD">
        <w:rPr>
          <w:b/>
          <w:bCs/>
          <w:lang w:val="pl-PL"/>
        </w:rPr>
        <w:t>prawo sprzedającego</w:t>
      </w:r>
      <w:r w:rsidRPr="005959CD">
        <w:rPr>
          <w:lang w:val="pl-PL"/>
        </w:rPr>
        <w:t>,</w:t>
      </w:r>
      <w:r w:rsidR="00C2040F">
        <w:rPr>
          <w:lang w:val="pl-PL"/>
        </w:rPr>
        <w:t xml:space="preserve"> (pkt.1)</w:t>
      </w:r>
    </w:p>
    <w:p w14:paraId="0502AD83" w14:textId="4038BDBD" w:rsidR="00C2040F" w:rsidRPr="005959CD" w:rsidRDefault="00C2040F" w:rsidP="00C2040F">
      <w:pPr>
        <w:numPr>
          <w:ilvl w:val="0"/>
          <w:numId w:val="6"/>
        </w:numPr>
        <w:jc w:val="both"/>
        <w:rPr>
          <w:lang w:val="pl-PL"/>
        </w:rPr>
      </w:pPr>
      <w:r w:rsidRPr="005959CD">
        <w:rPr>
          <w:lang w:val="pl-PL"/>
        </w:rPr>
        <w:t>doprecyzowanie i uelastycznienie mechanizmu wystawiania informacji o obniżeniu</w:t>
      </w:r>
      <w:r>
        <w:rPr>
          <w:lang w:val="pl-PL"/>
        </w:rPr>
        <w:t xml:space="preserve"> (pkt.2)</w:t>
      </w:r>
    </w:p>
    <w:p w14:paraId="74225A98" w14:textId="0AF1BCDA" w:rsidR="005959CD" w:rsidRPr="005959CD" w:rsidRDefault="005959CD" w:rsidP="005959CD">
      <w:pPr>
        <w:numPr>
          <w:ilvl w:val="0"/>
          <w:numId w:val="6"/>
        </w:numPr>
        <w:jc w:val="both"/>
        <w:rPr>
          <w:lang w:val="pl-PL"/>
        </w:rPr>
      </w:pPr>
      <w:r w:rsidRPr="005959CD">
        <w:rPr>
          <w:lang w:val="pl-PL"/>
        </w:rPr>
        <w:t>zniesienie obowiązku informacyjnego (art. 22 ust. 1a),</w:t>
      </w:r>
      <w:r w:rsidR="00C2040F">
        <w:rPr>
          <w:lang w:val="pl-PL"/>
        </w:rPr>
        <w:t xml:space="preserve"> (pkt 3)</w:t>
      </w:r>
    </w:p>
    <w:p w14:paraId="767E8815" w14:textId="0EBE4E09" w:rsidR="005959CD" w:rsidRPr="005959CD" w:rsidRDefault="005959CD" w:rsidP="005959CD">
      <w:pPr>
        <w:numPr>
          <w:ilvl w:val="0"/>
          <w:numId w:val="6"/>
        </w:numPr>
        <w:jc w:val="both"/>
        <w:rPr>
          <w:lang w:val="pl-PL"/>
        </w:rPr>
      </w:pPr>
      <w:r w:rsidRPr="005959CD">
        <w:rPr>
          <w:lang w:val="pl-PL"/>
        </w:rPr>
        <w:t>złagodzenie przepisów sankcyjnych (art. 22b),</w:t>
      </w:r>
      <w:r w:rsidR="00C2040F">
        <w:rPr>
          <w:lang w:val="pl-PL"/>
        </w:rPr>
        <w:t xml:space="preserve"> (pkt 4)</w:t>
      </w:r>
    </w:p>
    <w:p w14:paraId="6F3795D9" w14:textId="500BE74E" w:rsidR="005959CD" w:rsidRPr="005959CD" w:rsidRDefault="005959CD" w:rsidP="005959CD">
      <w:pPr>
        <w:numPr>
          <w:ilvl w:val="0"/>
          <w:numId w:val="6"/>
        </w:numPr>
        <w:jc w:val="both"/>
        <w:rPr>
          <w:lang w:val="pl-PL"/>
        </w:rPr>
      </w:pPr>
      <w:r w:rsidRPr="005959CD">
        <w:rPr>
          <w:b/>
          <w:bCs/>
          <w:lang w:val="pl-PL"/>
        </w:rPr>
        <w:t>całkowite zniesienie obowiązku zapewniania opieki medycznej</w:t>
      </w:r>
      <w:r w:rsidRPr="005959CD">
        <w:rPr>
          <w:lang w:val="pl-PL"/>
        </w:rPr>
        <w:t xml:space="preserve"> przez </w:t>
      </w:r>
      <w:proofErr w:type="spellStart"/>
      <w:r w:rsidRPr="005959CD">
        <w:rPr>
          <w:lang w:val="pl-PL"/>
        </w:rPr>
        <w:t>ZPCh</w:t>
      </w:r>
      <w:proofErr w:type="spellEnd"/>
      <w:r w:rsidR="00C2040F">
        <w:rPr>
          <w:lang w:val="pl-PL"/>
        </w:rPr>
        <w:t xml:space="preserve"> </w:t>
      </w:r>
      <w:r w:rsidR="0095021E">
        <w:rPr>
          <w:lang w:val="pl-PL"/>
        </w:rPr>
        <w:t>(pkt 5)</w:t>
      </w:r>
    </w:p>
    <w:p w14:paraId="3E882C3B" w14:textId="2BBEBE40" w:rsidR="005959CD" w:rsidRDefault="005959CD" w:rsidP="005959CD">
      <w:pPr>
        <w:numPr>
          <w:ilvl w:val="0"/>
          <w:numId w:val="6"/>
        </w:numPr>
        <w:jc w:val="both"/>
        <w:rPr>
          <w:lang w:val="pl-PL"/>
        </w:rPr>
      </w:pPr>
      <w:r w:rsidRPr="005959CD">
        <w:rPr>
          <w:lang w:val="pl-PL"/>
        </w:rPr>
        <w:lastRenderedPageBreak/>
        <w:t>rezygnację z nieostrego sformułowania „adekwatnie do potrzeb”</w:t>
      </w:r>
      <w:r w:rsidR="00C2040F">
        <w:rPr>
          <w:lang w:val="pl-PL"/>
        </w:rPr>
        <w:t xml:space="preserve"> w przypadku opieki medycznej zapewnianej w ZAZ</w:t>
      </w:r>
      <w:r w:rsidR="0095021E">
        <w:rPr>
          <w:lang w:val="pl-PL"/>
        </w:rPr>
        <w:t xml:space="preserve"> (pkt 6)</w:t>
      </w:r>
    </w:p>
    <w:p w14:paraId="30FB8213" w14:textId="06B054B7" w:rsidR="0095021E" w:rsidRPr="005959CD" w:rsidRDefault="0095021E" w:rsidP="005959CD">
      <w:pPr>
        <w:numPr>
          <w:ilvl w:val="0"/>
          <w:numId w:val="6"/>
        </w:numPr>
        <w:jc w:val="both"/>
        <w:rPr>
          <w:lang w:val="pl-PL"/>
        </w:rPr>
      </w:pPr>
      <w:r>
        <w:rPr>
          <w:lang w:val="pl-PL"/>
        </w:rPr>
        <w:t>podjęcie działań mających na celu zwiększenie ilości osób z niepełnosprawnościami, które dzięki aktywizacji w ZAZ będą mogły podjąć zatrudnienie na otwartym rynku pracy (pkt 7)</w:t>
      </w:r>
    </w:p>
    <w:p w14:paraId="0915A21D" w14:textId="3F59603A" w:rsidR="005959CD" w:rsidRPr="005959CD" w:rsidRDefault="005959CD" w:rsidP="005959CD">
      <w:pPr>
        <w:jc w:val="both"/>
        <w:rPr>
          <w:lang w:val="pl-PL"/>
        </w:rPr>
      </w:pPr>
      <w:r w:rsidRPr="005959CD">
        <w:rPr>
          <w:lang w:val="pl-PL"/>
        </w:rPr>
        <w:t xml:space="preserve">W naszej ocenie proponowane zmiany przyczynią się do poprawy warunków działania pracodawców zatrudniających osoby </w:t>
      </w:r>
      <w:r w:rsidR="00C2040F">
        <w:rPr>
          <w:lang w:val="pl-PL"/>
        </w:rPr>
        <w:t xml:space="preserve">z </w:t>
      </w:r>
      <w:r w:rsidRPr="005959CD">
        <w:rPr>
          <w:lang w:val="pl-PL"/>
        </w:rPr>
        <w:t>niepełnosprawn</w:t>
      </w:r>
      <w:r w:rsidR="00C2040F">
        <w:rPr>
          <w:lang w:val="pl-PL"/>
        </w:rPr>
        <w:t>ością</w:t>
      </w:r>
      <w:r w:rsidRPr="005959CD">
        <w:rPr>
          <w:lang w:val="pl-PL"/>
        </w:rPr>
        <w:t xml:space="preserve"> i wzmocnią ich rolę jako partnerów w procesie rehabilitacji i aktywizacji zawodowej.</w:t>
      </w:r>
    </w:p>
    <w:p w14:paraId="1C0C102A" w14:textId="77777777" w:rsidR="00C2040F" w:rsidRDefault="00C2040F" w:rsidP="00C2040F">
      <w:pPr>
        <w:jc w:val="right"/>
        <w:rPr>
          <w:lang w:val="pl-PL"/>
        </w:rPr>
      </w:pPr>
    </w:p>
    <w:p w14:paraId="1DF8DB60" w14:textId="4F44C37A" w:rsidR="005959CD" w:rsidRPr="005959CD" w:rsidRDefault="00C2040F" w:rsidP="00C2040F">
      <w:pPr>
        <w:jc w:val="right"/>
        <w:rPr>
          <w:i/>
          <w:iCs/>
          <w:lang w:val="pl-PL"/>
        </w:rPr>
      </w:pPr>
      <w:r>
        <w:rPr>
          <w:lang w:val="pl-PL"/>
        </w:rPr>
        <w:t>z</w:t>
      </w:r>
      <w:r w:rsidR="005959CD" w:rsidRPr="005959CD">
        <w:rPr>
          <w:i/>
          <w:iCs/>
          <w:lang w:val="pl-PL"/>
        </w:rPr>
        <w:t xml:space="preserve"> poważaniem,</w:t>
      </w:r>
      <w:r w:rsidR="005959CD" w:rsidRPr="005959CD">
        <w:rPr>
          <w:i/>
          <w:iCs/>
          <w:lang w:val="pl-PL"/>
        </w:rPr>
        <w:br/>
      </w:r>
    </w:p>
    <w:p w14:paraId="54A45C2E" w14:textId="77777777" w:rsidR="005959CD" w:rsidRDefault="005959CD" w:rsidP="00065FBA">
      <w:pPr>
        <w:jc w:val="both"/>
        <w:rPr>
          <w:i/>
          <w:iCs/>
          <w:lang w:val="pl-PL"/>
        </w:rPr>
      </w:pPr>
    </w:p>
    <w:p w14:paraId="4F53A461" w14:textId="77777777" w:rsidR="00633C62" w:rsidRPr="00633C62" w:rsidRDefault="00633C62" w:rsidP="00065FBA">
      <w:pPr>
        <w:pStyle w:val="Nagwek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jc w:val="right"/>
        <w:rPr>
          <w:rFonts w:ascii="Calibri" w:hAnsi="Calibri"/>
          <w:sz w:val="24"/>
          <w:szCs w:val="24"/>
        </w:rPr>
      </w:pPr>
    </w:p>
    <w:p w14:paraId="6F43625B" w14:textId="154E4AD3" w:rsidR="001A5727" w:rsidRPr="00633C62" w:rsidRDefault="001A5727">
      <w:pPr>
        <w:pStyle w:val="Nagwek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ind w:left="5102"/>
        <w:jc w:val="center"/>
        <w:rPr>
          <w:sz w:val="24"/>
          <w:szCs w:val="24"/>
        </w:rPr>
      </w:pPr>
    </w:p>
    <w:sectPr w:rsidR="001A5727" w:rsidRPr="00633C62">
      <w:headerReference w:type="default" r:id="rId7"/>
      <w:footerReference w:type="default" r:id="rId8"/>
      <w:pgSz w:w="11900" w:h="16840"/>
      <w:pgMar w:top="3261" w:right="720" w:bottom="1135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446F2" w14:textId="77777777" w:rsidR="002B633F" w:rsidRDefault="002B633F">
      <w:r>
        <w:separator/>
      </w:r>
    </w:p>
  </w:endnote>
  <w:endnote w:type="continuationSeparator" w:id="0">
    <w:p w14:paraId="42016954" w14:textId="77777777" w:rsidR="002B633F" w:rsidRDefault="002B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82F44" w14:textId="77777777" w:rsidR="001A5727" w:rsidRDefault="001A5727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40503" w14:textId="77777777" w:rsidR="002B633F" w:rsidRDefault="002B633F">
      <w:r>
        <w:separator/>
      </w:r>
    </w:p>
  </w:footnote>
  <w:footnote w:type="continuationSeparator" w:id="0">
    <w:p w14:paraId="2639974C" w14:textId="77777777" w:rsidR="002B633F" w:rsidRDefault="002B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01157" w14:textId="77777777" w:rsidR="001A5727" w:rsidRDefault="00F240D6">
    <w:pPr>
      <w:pStyle w:val="Nagwek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5DE0796" wp14:editId="31D5BAB1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43800" cy="10673716"/>
          <wp:effectExtent l="0" t="0" r="0" b="0"/>
          <wp:wrapNone/>
          <wp:docPr id="1073741825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ek" descr="Obra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37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A6CE2"/>
    <w:multiLevelType w:val="hybridMultilevel"/>
    <w:tmpl w:val="BE484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F7764"/>
    <w:multiLevelType w:val="hybridMultilevel"/>
    <w:tmpl w:val="6F9AD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0282B"/>
    <w:multiLevelType w:val="hybridMultilevel"/>
    <w:tmpl w:val="5B04FE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204D0"/>
    <w:multiLevelType w:val="hybridMultilevel"/>
    <w:tmpl w:val="72EEA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D10BA"/>
    <w:multiLevelType w:val="hybridMultilevel"/>
    <w:tmpl w:val="7FD2050E"/>
    <w:lvl w:ilvl="0" w:tplc="223804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821D9"/>
    <w:multiLevelType w:val="hybridMultilevel"/>
    <w:tmpl w:val="17B28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E2213"/>
    <w:multiLevelType w:val="multilevel"/>
    <w:tmpl w:val="CA56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5531035">
    <w:abstractNumId w:val="3"/>
  </w:num>
  <w:num w:numId="2" w16cid:durableId="762066221">
    <w:abstractNumId w:val="1"/>
  </w:num>
  <w:num w:numId="3" w16cid:durableId="1891964952">
    <w:abstractNumId w:val="5"/>
  </w:num>
  <w:num w:numId="4" w16cid:durableId="1834486157">
    <w:abstractNumId w:val="4"/>
  </w:num>
  <w:num w:numId="5" w16cid:durableId="534537597">
    <w:abstractNumId w:val="2"/>
  </w:num>
  <w:num w:numId="6" w16cid:durableId="1124421204">
    <w:abstractNumId w:val="6"/>
  </w:num>
  <w:num w:numId="7" w16cid:durableId="8626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27"/>
    <w:rsid w:val="0001173E"/>
    <w:rsid w:val="00025EB2"/>
    <w:rsid w:val="00055B30"/>
    <w:rsid w:val="00064C8D"/>
    <w:rsid w:val="00065FBA"/>
    <w:rsid w:val="00077EFC"/>
    <w:rsid w:val="001135A2"/>
    <w:rsid w:val="001550FC"/>
    <w:rsid w:val="00174D1B"/>
    <w:rsid w:val="00176726"/>
    <w:rsid w:val="001A5727"/>
    <w:rsid w:val="001B13F0"/>
    <w:rsid w:val="00201E15"/>
    <w:rsid w:val="0027255B"/>
    <w:rsid w:val="00276B16"/>
    <w:rsid w:val="0029027C"/>
    <w:rsid w:val="00293B39"/>
    <w:rsid w:val="002B560C"/>
    <w:rsid w:val="002B633F"/>
    <w:rsid w:val="002C6902"/>
    <w:rsid w:val="002F5208"/>
    <w:rsid w:val="002F55C2"/>
    <w:rsid w:val="002F68ED"/>
    <w:rsid w:val="003113D4"/>
    <w:rsid w:val="003514FC"/>
    <w:rsid w:val="00385130"/>
    <w:rsid w:val="004018AF"/>
    <w:rsid w:val="00405621"/>
    <w:rsid w:val="00415BCD"/>
    <w:rsid w:val="00422DBA"/>
    <w:rsid w:val="00430853"/>
    <w:rsid w:val="00462E5D"/>
    <w:rsid w:val="00474187"/>
    <w:rsid w:val="0049642F"/>
    <w:rsid w:val="004C4210"/>
    <w:rsid w:val="004C4DBC"/>
    <w:rsid w:val="0051078E"/>
    <w:rsid w:val="00516B6F"/>
    <w:rsid w:val="005204AD"/>
    <w:rsid w:val="00526F0E"/>
    <w:rsid w:val="0055510A"/>
    <w:rsid w:val="00586854"/>
    <w:rsid w:val="0059153D"/>
    <w:rsid w:val="00592FFA"/>
    <w:rsid w:val="005959CD"/>
    <w:rsid w:val="005A057B"/>
    <w:rsid w:val="005A630C"/>
    <w:rsid w:val="005B6E01"/>
    <w:rsid w:val="005C017F"/>
    <w:rsid w:val="005C4B8E"/>
    <w:rsid w:val="00615427"/>
    <w:rsid w:val="00625490"/>
    <w:rsid w:val="00633C62"/>
    <w:rsid w:val="00642E7F"/>
    <w:rsid w:val="00645FFC"/>
    <w:rsid w:val="00654FFE"/>
    <w:rsid w:val="00675FD9"/>
    <w:rsid w:val="006B48EE"/>
    <w:rsid w:val="006C0D70"/>
    <w:rsid w:val="006C3108"/>
    <w:rsid w:val="007073F1"/>
    <w:rsid w:val="0071680B"/>
    <w:rsid w:val="00721FA9"/>
    <w:rsid w:val="00731189"/>
    <w:rsid w:val="00736DFD"/>
    <w:rsid w:val="00797D17"/>
    <w:rsid w:val="007C081D"/>
    <w:rsid w:val="00821AD8"/>
    <w:rsid w:val="00834408"/>
    <w:rsid w:val="008844AC"/>
    <w:rsid w:val="008B6C8C"/>
    <w:rsid w:val="008D55AB"/>
    <w:rsid w:val="008D7879"/>
    <w:rsid w:val="008E01D7"/>
    <w:rsid w:val="0095021E"/>
    <w:rsid w:val="009634F8"/>
    <w:rsid w:val="00974550"/>
    <w:rsid w:val="00980A9F"/>
    <w:rsid w:val="009A3033"/>
    <w:rsid w:val="009A32D7"/>
    <w:rsid w:val="009E4AA2"/>
    <w:rsid w:val="009F75D9"/>
    <w:rsid w:val="00A0173C"/>
    <w:rsid w:val="00A273BE"/>
    <w:rsid w:val="00A33C29"/>
    <w:rsid w:val="00A40220"/>
    <w:rsid w:val="00A572FC"/>
    <w:rsid w:val="00A6454C"/>
    <w:rsid w:val="00A87B95"/>
    <w:rsid w:val="00AC788E"/>
    <w:rsid w:val="00AF52AB"/>
    <w:rsid w:val="00B36967"/>
    <w:rsid w:val="00B46BC7"/>
    <w:rsid w:val="00BA0EEB"/>
    <w:rsid w:val="00BA46C7"/>
    <w:rsid w:val="00BB080B"/>
    <w:rsid w:val="00BD128B"/>
    <w:rsid w:val="00BD7652"/>
    <w:rsid w:val="00C2040F"/>
    <w:rsid w:val="00C51003"/>
    <w:rsid w:val="00CC3096"/>
    <w:rsid w:val="00D2144D"/>
    <w:rsid w:val="00D22F21"/>
    <w:rsid w:val="00D832D6"/>
    <w:rsid w:val="00D97A30"/>
    <w:rsid w:val="00DA3EB1"/>
    <w:rsid w:val="00DB5542"/>
    <w:rsid w:val="00DD1EF7"/>
    <w:rsid w:val="00DE2468"/>
    <w:rsid w:val="00E116B6"/>
    <w:rsid w:val="00E86A81"/>
    <w:rsid w:val="00E86B26"/>
    <w:rsid w:val="00E97608"/>
    <w:rsid w:val="00EC1EC8"/>
    <w:rsid w:val="00EE141A"/>
    <w:rsid w:val="00EE6CC6"/>
    <w:rsid w:val="00F240D6"/>
    <w:rsid w:val="00F30E02"/>
    <w:rsid w:val="00F65794"/>
    <w:rsid w:val="00F7647B"/>
    <w:rsid w:val="00F87550"/>
    <w:rsid w:val="00FA5588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6315"/>
  <w15:docId w15:val="{A7B00571-FE4A-4C79-A76C-76EC632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uiPriority w:val="9"/>
    <w:unhideWhenUsed/>
    <w:qFormat/>
    <w:pPr>
      <w:outlineLvl w:val="3"/>
    </w:pPr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outlineLvl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0A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A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A9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A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A9F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B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B30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4C4D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3C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0"/>
      <w:szCs w:val="20"/>
      <w:bdr w:val="none" w:sz="0" w:space="0" w:color="auto"/>
      <w:lang w:val="pl-PL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3C62"/>
    <w:rPr>
      <w:rFonts w:asciiTheme="minorHAnsi" w:eastAsiaTheme="minorHAnsi" w:hAnsiTheme="minorHAnsi" w:cstheme="minorBidi"/>
      <w:kern w:val="2"/>
      <w:bdr w:val="none" w:sz="0" w:space="0" w:color="auto"/>
      <w:lang w:eastAsia="en-US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3C6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59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30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303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303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3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1242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Słonecka</dc:creator>
  <cp:lastModifiedBy>Office 365 Biuro 1</cp:lastModifiedBy>
  <cp:revision>4</cp:revision>
  <dcterms:created xsi:type="dcterms:W3CDTF">2025-05-03T06:03:00Z</dcterms:created>
  <dcterms:modified xsi:type="dcterms:W3CDTF">2025-05-03T06:47:00Z</dcterms:modified>
</cp:coreProperties>
</file>